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DE5AB" w14:textId="5E0AF578" w:rsidR="000B6210" w:rsidRDefault="00E42626" w:rsidP="000B6210">
      <w:pPr>
        <w:pStyle w:val="NormalWeb"/>
        <w:contextualSpacing/>
        <w:jc w:val="center"/>
        <w:rPr>
          <w:b/>
          <w:bCs/>
        </w:rPr>
      </w:pPr>
      <w:bookmarkStart w:id="0" w:name="_GoBack"/>
      <w:bookmarkEnd w:id="0"/>
      <w:r w:rsidRPr="00E42626">
        <w:rPr>
          <w:b/>
          <w:bCs/>
        </w:rPr>
        <w:t>CERIS Book Discussion, Spring 2018</w:t>
      </w:r>
    </w:p>
    <w:p w14:paraId="72B8C7AC" w14:textId="6E77EED0" w:rsidR="000B6210" w:rsidRDefault="000B6210" w:rsidP="000B6210">
      <w:pPr>
        <w:pStyle w:val="NormalWeb"/>
        <w:contextualSpacing/>
      </w:pPr>
      <w:r w:rsidRPr="000B6210">
        <w:t xml:space="preserve">Ousmane Kane, </w:t>
      </w:r>
      <w:r w:rsidRPr="000B6210">
        <w:rPr>
          <w:i/>
          <w:iCs/>
        </w:rPr>
        <w:t>Beyond Timbuktu: An Intellectual History of Muslim West Africa</w:t>
      </w:r>
      <w:r w:rsidRPr="000B6210">
        <w:t>. Harvard University Press, 2016.</w:t>
      </w:r>
    </w:p>
    <w:p w14:paraId="0A118AEA" w14:textId="77777777" w:rsidR="000B6210" w:rsidRDefault="000B6210" w:rsidP="000B6210">
      <w:pPr>
        <w:pStyle w:val="NormalWeb"/>
        <w:contextualSpacing/>
        <w:rPr>
          <w:b/>
          <w:bCs/>
        </w:rPr>
      </w:pPr>
    </w:p>
    <w:p w14:paraId="04F1A82A" w14:textId="7CA9C56C" w:rsidR="00E42626" w:rsidRPr="00E42626" w:rsidRDefault="00E42626" w:rsidP="00E42626">
      <w:pPr>
        <w:pStyle w:val="NormalWeb"/>
        <w:rPr>
          <w:b/>
          <w:bCs/>
        </w:rPr>
      </w:pPr>
      <w:r w:rsidRPr="00E42626">
        <w:rPr>
          <w:sz w:val="22"/>
          <w:szCs w:val="22"/>
        </w:rPr>
        <w:t>Discussion Facilitator: Amir Syed</w:t>
      </w:r>
      <w:r>
        <w:rPr>
          <w:sz w:val="22"/>
          <w:szCs w:val="22"/>
        </w:rPr>
        <w:t xml:space="preserve">, University of Pittsburgh </w:t>
      </w:r>
      <w:r w:rsidRPr="00E42626">
        <w:rPr>
          <w:sz w:val="22"/>
          <w:szCs w:val="22"/>
        </w:rPr>
        <w:t xml:space="preserve"> </w:t>
      </w:r>
    </w:p>
    <w:p w14:paraId="26698551" w14:textId="1F6041C4" w:rsidR="000B6210" w:rsidRPr="000B6210" w:rsidRDefault="000B6210" w:rsidP="00B37B77">
      <w:pPr>
        <w:rPr>
          <w:sz w:val="24"/>
          <w:szCs w:val="24"/>
          <w:u w:val="single"/>
          <w:lang w:val="en-CA"/>
        </w:rPr>
      </w:pPr>
      <w:r w:rsidRPr="000B6210">
        <w:rPr>
          <w:sz w:val="24"/>
          <w:szCs w:val="24"/>
          <w:u w:val="single"/>
          <w:lang w:val="en-CA"/>
        </w:rPr>
        <w:t>Discussion Questions</w:t>
      </w:r>
    </w:p>
    <w:p w14:paraId="392C3623" w14:textId="77777777" w:rsidR="000B6210" w:rsidRDefault="000B6210" w:rsidP="00B37B77">
      <w:pPr>
        <w:rPr>
          <w:sz w:val="24"/>
          <w:szCs w:val="24"/>
          <w:lang w:val="en-CA"/>
        </w:rPr>
      </w:pPr>
    </w:p>
    <w:p w14:paraId="299E6F97" w14:textId="53E085FF" w:rsidR="00FA3B00" w:rsidRPr="00D53B05" w:rsidRDefault="00DA4013" w:rsidP="00506EE6">
      <w:pPr>
        <w:rPr>
          <w:rFonts w:eastAsia="Times New Roman"/>
          <w:color w:val="auto"/>
          <w:kern w:val="0"/>
          <w:sz w:val="24"/>
          <w:szCs w:val="24"/>
        </w:rPr>
      </w:pPr>
      <w:r w:rsidRPr="001263F2">
        <w:rPr>
          <w:sz w:val="24"/>
          <w:szCs w:val="24"/>
          <w:lang w:val="en-CA"/>
        </w:rPr>
        <w:t>Ousmane Kane’</w:t>
      </w:r>
      <w:r w:rsidR="00FA3B00" w:rsidRPr="001263F2">
        <w:rPr>
          <w:sz w:val="24"/>
          <w:szCs w:val="24"/>
          <w:lang w:val="en-CA"/>
        </w:rPr>
        <w:t xml:space="preserve">s </w:t>
      </w:r>
      <w:r w:rsidR="00FA3B00" w:rsidRPr="001263F2">
        <w:rPr>
          <w:i/>
          <w:iCs/>
          <w:sz w:val="24"/>
          <w:szCs w:val="24"/>
          <w:lang w:val="en-CA"/>
        </w:rPr>
        <w:t>Beyond Timbuktu</w:t>
      </w:r>
      <w:r w:rsidRPr="001263F2">
        <w:rPr>
          <w:sz w:val="24"/>
          <w:szCs w:val="24"/>
          <w:lang w:val="en-CA"/>
        </w:rPr>
        <w:t xml:space="preserve"> is a </w:t>
      </w:r>
      <w:r w:rsidR="00D53B05" w:rsidRPr="00D53B05">
        <w:rPr>
          <w:rFonts w:eastAsia="Times New Roman"/>
          <w:i/>
          <w:iCs/>
          <w:color w:val="auto"/>
          <w:kern w:val="0"/>
          <w:sz w:val="24"/>
          <w:szCs w:val="24"/>
        </w:rPr>
        <w:t>longue durée</w:t>
      </w:r>
      <w:r w:rsidR="00D53B05" w:rsidRPr="00D53B05">
        <w:rPr>
          <w:rFonts w:eastAsia="Times New Roman"/>
          <w:color w:val="auto"/>
          <w:kern w:val="0"/>
          <w:sz w:val="24"/>
          <w:szCs w:val="24"/>
        </w:rPr>
        <w:t xml:space="preserve"> </w:t>
      </w:r>
      <w:r w:rsidRPr="001263F2">
        <w:rPr>
          <w:sz w:val="24"/>
          <w:szCs w:val="24"/>
          <w:lang w:val="en-CA"/>
        </w:rPr>
        <w:t>meditation</w:t>
      </w:r>
      <w:r w:rsidR="00D53B05">
        <w:rPr>
          <w:sz w:val="24"/>
          <w:szCs w:val="24"/>
          <w:lang w:val="en-CA"/>
        </w:rPr>
        <w:t xml:space="preserve"> </w:t>
      </w:r>
      <w:r w:rsidRPr="001263F2">
        <w:rPr>
          <w:sz w:val="24"/>
          <w:szCs w:val="24"/>
          <w:lang w:val="en-CA"/>
        </w:rPr>
        <w:t xml:space="preserve">on Islamic intellectual history in West Africa. In </w:t>
      </w:r>
      <w:r w:rsidR="00D54F29">
        <w:rPr>
          <w:sz w:val="24"/>
          <w:szCs w:val="24"/>
          <w:lang w:val="en-CA"/>
        </w:rPr>
        <w:t>this historiography</w:t>
      </w:r>
      <w:r w:rsidR="00FA3B00" w:rsidRPr="001263F2">
        <w:rPr>
          <w:sz w:val="24"/>
          <w:szCs w:val="24"/>
          <w:lang w:val="en-CA"/>
        </w:rPr>
        <w:t>,</w:t>
      </w:r>
      <w:r w:rsidRPr="001263F2">
        <w:rPr>
          <w:sz w:val="24"/>
          <w:szCs w:val="24"/>
          <w:lang w:val="en-CA"/>
        </w:rPr>
        <w:t xml:space="preserve"> he attempts to highlight, in broad brushstrokes, the changing</w:t>
      </w:r>
      <w:r w:rsidR="00FA3B00" w:rsidRPr="001263F2">
        <w:rPr>
          <w:sz w:val="24"/>
          <w:szCs w:val="24"/>
          <w:lang w:val="en-CA"/>
        </w:rPr>
        <w:t xml:space="preserve"> educational, political and social,</w:t>
      </w:r>
      <w:r w:rsidRPr="001263F2">
        <w:rPr>
          <w:sz w:val="24"/>
          <w:szCs w:val="24"/>
          <w:lang w:val="en-CA"/>
        </w:rPr>
        <w:t xml:space="preserve"> circumstances of various Muslim actors in the precolonial, colonial and postcolonial periods. While one could argue that there are a lot of aspects </w:t>
      </w:r>
      <w:r w:rsidR="00FA3B00" w:rsidRPr="001263F2">
        <w:rPr>
          <w:sz w:val="24"/>
          <w:szCs w:val="24"/>
          <w:lang w:val="en-CA"/>
        </w:rPr>
        <w:t xml:space="preserve">that are left </w:t>
      </w:r>
      <w:r w:rsidR="007827CE" w:rsidRPr="001263F2">
        <w:rPr>
          <w:sz w:val="24"/>
          <w:szCs w:val="24"/>
          <w:lang w:val="en-CA"/>
        </w:rPr>
        <w:t xml:space="preserve">out </w:t>
      </w:r>
      <w:r w:rsidR="00FA3B00" w:rsidRPr="001263F2">
        <w:rPr>
          <w:sz w:val="24"/>
          <w:szCs w:val="24"/>
          <w:lang w:val="en-CA"/>
        </w:rPr>
        <w:t>of the work, his</w:t>
      </w:r>
      <w:r w:rsidRPr="001263F2">
        <w:rPr>
          <w:sz w:val="24"/>
          <w:szCs w:val="24"/>
          <w:lang w:val="en-CA"/>
        </w:rPr>
        <w:t xml:space="preserve"> stated purpose </w:t>
      </w:r>
      <w:r w:rsidR="008F2E54">
        <w:rPr>
          <w:sz w:val="24"/>
          <w:szCs w:val="24"/>
          <w:lang w:val="en-CA"/>
        </w:rPr>
        <w:t>in this</w:t>
      </w:r>
      <w:r w:rsidR="00FA3B00" w:rsidRPr="001263F2">
        <w:rPr>
          <w:sz w:val="24"/>
          <w:szCs w:val="24"/>
          <w:lang w:val="en-CA"/>
        </w:rPr>
        <w:t xml:space="preserve"> broad synthetic work is quite clear</w:t>
      </w:r>
      <w:r w:rsidRPr="001263F2">
        <w:rPr>
          <w:sz w:val="24"/>
          <w:szCs w:val="24"/>
          <w:lang w:val="en-CA"/>
        </w:rPr>
        <w:t xml:space="preserve">. </w:t>
      </w:r>
      <w:r w:rsidR="00FA3B00" w:rsidRPr="001263F2">
        <w:rPr>
          <w:sz w:val="24"/>
          <w:szCs w:val="24"/>
          <w:lang w:val="en-CA"/>
        </w:rPr>
        <w:t>H</w:t>
      </w:r>
      <w:r w:rsidRPr="001263F2">
        <w:rPr>
          <w:sz w:val="24"/>
          <w:szCs w:val="24"/>
          <w:lang w:val="en-CA"/>
        </w:rPr>
        <w:t xml:space="preserve">e explains “The scope of this book is simply to bring </w:t>
      </w:r>
      <w:r w:rsidR="00506EE6">
        <w:rPr>
          <w:sz w:val="24"/>
          <w:szCs w:val="24"/>
          <w:lang w:val="en-CA"/>
        </w:rPr>
        <w:t xml:space="preserve">to the </w:t>
      </w:r>
      <w:r w:rsidRPr="001263F2">
        <w:rPr>
          <w:sz w:val="24"/>
          <w:szCs w:val="24"/>
          <w:lang w:val="en-CA"/>
        </w:rPr>
        <w:t xml:space="preserve">attention of Europhone intellectuals the authentic lived experience of millions of Muslim in West Africa” (208). </w:t>
      </w:r>
      <w:r w:rsidR="00B37B77">
        <w:rPr>
          <w:sz w:val="24"/>
          <w:szCs w:val="24"/>
          <w:lang w:val="en-CA"/>
        </w:rPr>
        <w:t>T</w:t>
      </w:r>
      <w:r w:rsidRPr="001263F2">
        <w:rPr>
          <w:sz w:val="24"/>
          <w:szCs w:val="24"/>
          <w:lang w:val="en-CA"/>
        </w:rPr>
        <w:t>his “experience”</w:t>
      </w:r>
      <w:r w:rsidR="00FA3B00" w:rsidRPr="001263F2">
        <w:rPr>
          <w:sz w:val="24"/>
          <w:szCs w:val="24"/>
          <w:lang w:val="en-CA"/>
        </w:rPr>
        <w:t xml:space="preserve"> is multivalent and is not static—it has changed in many different directions over tim</w:t>
      </w:r>
      <w:r w:rsidR="00506EE6">
        <w:rPr>
          <w:sz w:val="24"/>
          <w:szCs w:val="24"/>
          <w:lang w:val="en-CA"/>
        </w:rPr>
        <w:t>e. The key point is that</w:t>
      </w:r>
      <w:r w:rsidR="008905EB">
        <w:rPr>
          <w:sz w:val="24"/>
          <w:szCs w:val="24"/>
          <w:lang w:val="en-CA"/>
        </w:rPr>
        <w:t xml:space="preserve"> </w:t>
      </w:r>
      <w:r w:rsidR="008F2E54">
        <w:rPr>
          <w:sz w:val="24"/>
          <w:szCs w:val="24"/>
          <w:lang w:val="en-CA"/>
        </w:rPr>
        <w:t>the liv</w:t>
      </w:r>
      <w:r w:rsidR="00FA3B00" w:rsidRPr="001263F2">
        <w:rPr>
          <w:sz w:val="24"/>
          <w:szCs w:val="24"/>
          <w:lang w:val="en-CA"/>
        </w:rPr>
        <w:t>ed experiences of Muslims and the manifold ways that</w:t>
      </w:r>
      <w:r w:rsidR="00B962C4" w:rsidRPr="001263F2">
        <w:rPr>
          <w:sz w:val="24"/>
          <w:szCs w:val="24"/>
          <w:lang w:val="en-CA"/>
        </w:rPr>
        <w:t xml:space="preserve"> Muslims</w:t>
      </w:r>
      <w:r w:rsidR="00FA3B00" w:rsidRPr="001263F2">
        <w:rPr>
          <w:sz w:val="24"/>
          <w:szCs w:val="24"/>
          <w:lang w:val="en-CA"/>
        </w:rPr>
        <w:t xml:space="preserve"> hav</w:t>
      </w:r>
      <w:r w:rsidR="00B962C4" w:rsidRPr="001263F2">
        <w:rPr>
          <w:sz w:val="24"/>
          <w:szCs w:val="24"/>
          <w:lang w:val="en-CA"/>
        </w:rPr>
        <w:t>e created religious meanings in West Africa</w:t>
      </w:r>
      <w:r w:rsidR="00506EE6">
        <w:rPr>
          <w:sz w:val="24"/>
          <w:szCs w:val="24"/>
          <w:lang w:val="en-CA"/>
        </w:rPr>
        <w:t>, over time,</w:t>
      </w:r>
      <w:r w:rsidR="00B962C4" w:rsidRPr="001263F2">
        <w:rPr>
          <w:sz w:val="24"/>
          <w:szCs w:val="24"/>
          <w:lang w:val="en-CA"/>
        </w:rPr>
        <w:t xml:space="preserve"> often remains </w:t>
      </w:r>
      <w:r w:rsidR="00FA3B00" w:rsidRPr="001263F2">
        <w:rPr>
          <w:sz w:val="24"/>
          <w:szCs w:val="24"/>
          <w:lang w:val="en-CA"/>
        </w:rPr>
        <w:t>overlooked in academic discussions.</w:t>
      </w:r>
      <w:r w:rsidR="00AB1EA4" w:rsidRPr="001263F2">
        <w:rPr>
          <w:sz w:val="24"/>
          <w:szCs w:val="24"/>
          <w:lang w:val="en-CA"/>
        </w:rPr>
        <w:t xml:space="preserve"> </w:t>
      </w:r>
      <w:r w:rsidR="00506EE6">
        <w:rPr>
          <w:sz w:val="24"/>
          <w:szCs w:val="24"/>
          <w:lang w:val="en-CA"/>
        </w:rPr>
        <w:t>In addition</w:t>
      </w:r>
      <w:r w:rsidR="00AB1EA4" w:rsidRPr="001263F2">
        <w:rPr>
          <w:sz w:val="24"/>
          <w:szCs w:val="24"/>
          <w:lang w:val="en-CA"/>
        </w:rPr>
        <w:t>, Islam and the Arabic language have played an important part of this region’s history, and are very much part of “African tradition</w:t>
      </w:r>
      <w:r w:rsidR="003C62E7" w:rsidRPr="001263F2">
        <w:rPr>
          <w:sz w:val="24"/>
          <w:szCs w:val="24"/>
          <w:lang w:val="en-CA"/>
        </w:rPr>
        <w:t>s</w:t>
      </w:r>
      <w:r w:rsidR="00AB1EA4" w:rsidRPr="001263F2">
        <w:rPr>
          <w:sz w:val="24"/>
          <w:szCs w:val="24"/>
          <w:lang w:val="en-CA"/>
        </w:rPr>
        <w:t>.</w:t>
      </w:r>
      <w:r w:rsidR="00BE3A2D">
        <w:rPr>
          <w:sz w:val="24"/>
          <w:szCs w:val="24"/>
          <w:lang w:val="en-CA"/>
        </w:rPr>
        <w:t>”</w:t>
      </w:r>
      <w:r w:rsidR="00FA3B00" w:rsidRPr="001263F2">
        <w:rPr>
          <w:sz w:val="24"/>
          <w:szCs w:val="24"/>
          <w:lang w:val="en-CA"/>
        </w:rPr>
        <w:t xml:space="preserve"> </w:t>
      </w:r>
      <w:r w:rsidR="00B962C4" w:rsidRPr="001263F2">
        <w:rPr>
          <w:sz w:val="24"/>
          <w:szCs w:val="24"/>
          <w:lang w:val="en-CA"/>
        </w:rPr>
        <w:t xml:space="preserve">In keeping this frame in mind, I would like to propose the following broad set of discussion questions: </w:t>
      </w:r>
    </w:p>
    <w:p w14:paraId="744E4732" w14:textId="77777777" w:rsidR="00C802EA" w:rsidRPr="001263F2" w:rsidRDefault="00C802EA" w:rsidP="00B962C4">
      <w:pPr>
        <w:rPr>
          <w:sz w:val="24"/>
          <w:szCs w:val="24"/>
          <w:lang w:val="en-CA"/>
        </w:rPr>
      </w:pPr>
    </w:p>
    <w:p w14:paraId="3E2BBD23" w14:textId="77777777" w:rsidR="00D61EE5" w:rsidRPr="001263F2" w:rsidRDefault="00D61EE5" w:rsidP="00D61EE5">
      <w:pPr>
        <w:rPr>
          <w:sz w:val="24"/>
          <w:szCs w:val="24"/>
          <w:lang w:val="en-CA"/>
        </w:rPr>
      </w:pPr>
    </w:p>
    <w:p w14:paraId="2F03B3EB" w14:textId="15E344D4" w:rsidR="00720303" w:rsidRPr="001263F2" w:rsidRDefault="00180076" w:rsidP="005A4B49">
      <w:pPr>
        <w:pStyle w:val="ListParagraph"/>
        <w:numPr>
          <w:ilvl w:val="0"/>
          <w:numId w:val="5"/>
        </w:numPr>
        <w:rPr>
          <w:sz w:val="24"/>
          <w:szCs w:val="24"/>
          <w:lang w:val="en-CA"/>
        </w:rPr>
      </w:pPr>
      <w:r w:rsidRPr="001263F2">
        <w:rPr>
          <w:sz w:val="24"/>
          <w:szCs w:val="24"/>
          <w:lang w:val="en-CA"/>
        </w:rPr>
        <w:t>Why does Kane dedicate the first several chapters to</w:t>
      </w:r>
      <w:r w:rsidR="00990453" w:rsidRPr="001263F2">
        <w:rPr>
          <w:sz w:val="24"/>
          <w:szCs w:val="24"/>
          <w:lang w:val="en-CA"/>
        </w:rPr>
        <w:t xml:space="preserve"> Islamic educational practices </w:t>
      </w:r>
      <w:r w:rsidR="005A4B49" w:rsidRPr="001263F2">
        <w:rPr>
          <w:sz w:val="24"/>
          <w:szCs w:val="24"/>
          <w:lang w:val="en-CA"/>
        </w:rPr>
        <w:t xml:space="preserve">and knowledge transmission </w:t>
      </w:r>
      <w:r w:rsidR="00990453" w:rsidRPr="001263F2">
        <w:rPr>
          <w:sz w:val="24"/>
          <w:szCs w:val="24"/>
          <w:lang w:val="en-CA"/>
        </w:rPr>
        <w:t>in the precolonial period</w:t>
      </w:r>
      <w:r w:rsidRPr="001263F2">
        <w:rPr>
          <w:sz w:val="24"/>
          <w:szCs w:val="24"/>
          <w:lang w:val="en-CA"/>
        </w:rPr>
        <w:t>?</w:t>
      </w:r>
      <w:r w:rsidR="007827CE" w:rsidRPr="001263F2">
        <w:rPr>
          <w:sz w:val="24"/>
          <w:szCs w:val="24"/>
          <w:lang w:val="en-CA"/>
        </w:rPr>
        <w:t xml:space="preserve"> What larger arguments is he trying to make?</w:t>
      </w:r>
    </w:p>
    <w:p w14:paraId="403B411A" w14:textId="77777777" w:rsidR="00180076" w:rsidRPr="001263F2" w:rsidRDefault="00180076" w:rsidP="00180076">
      <w:pPr>
        <w:pStyle w:val="ListParagraph"/>
        <w:rPr>
          <w:sz w:val="24"/>
          <w:szCs w:val="24"/>
          <w:lang w:val="en-CA"/>
        </w:rPr>
      </w:pPr>
    </w:p>
    <w:p w14:paraId="19D5F596" w14:textId="3C3D5278" w:rsidR="00180076" w:rsidRPr="001263F2" w:rsidRDefault="00180076" w:rsidP="005A4B49">
      <w:pPr>
        <w:pStyle w:val="ListParagraph"/>
        <w:numPr>
          <w:ilvl w:val="0"/>
          <w:numId w:val="5"/>
        </w:numPr>
        <w:rPr>
          <w:sz w:val="24"/>
          <w:szCs w:val="24"/>
          <w:lang w:val="en-CA"/>
        </w:rPr>
      </w:pPr>
      <w:r w:rsidRPr="001263F2">
        <w:rPr>
          <w:sz w:val="24"/>
          <w:szCs w:val="24"/>
          <w:lang w:val="en-CA"/>
        </w:rPr>
        <w:t xml:space="preserve">What are the main contours of this educational philosophy and system of transmitting knowledge? </w:t>
      </w:r>
    </w:p>
    <w:p w14:paraId="7C7E7958" w14:textId="77777777" w:rsidR="005A4B49" w:rsidRPr="001263F2" w:rsidRDefault="005A4B49" w:rsidP="005A4B49">
      <w:pPr>
        <w:rPr>
          <w:sz w:val="24"/>
          <w:szCs w:val="24"/>
          <w:lang w:val="en-CA"/>
        </w:rPr>
      </w:pPr>
    </w:p>
    <w:p w14:paraId="588A8713" w14:textId="3F970677" w:rsidR="005A4B49" w:rsidRPr="001263F2" w:rsidRDefault="005A4B49" w:rsidP="00180076">
      <w:pPr>
        <w:pStyle w:val="ListParagraph"/>
        <w:numPr>
          <w:ilvl w:val="0"/>
          <w:numId w:val="5"/>
        </w:numPr>
        <w:rPr>
          <w:sz w:val="24"/>
          <w:szCs w:val="24"/>
          <w:lang w:val="en-CA"/>
        </w:rPr>
      </w:pPr>
      <w:r w:rsidRPr="001263F2">
        <w:rPr>
          <w:sz w:val="24"/>
          <w:szCs w:val="24"/>
          <w:lang w:val="en-CA"/>
        </w:rPr>
        <w:t>What is the “Islamic archive”</w:t>
      </w:r>
      <w:r w:rsidR="00E540D1" w:rsidRPr="001263F2">
        <w:rPr>
          <w:sz w:val="24"/>
          <w:szCs w:val="24"/>
          <w:lang w:val="en-CA"/>
        </w:rPr>
        <w:t xml:space="preserve"> or “Islamic library”</w:t>
      </w:r>
      <w:r w:rsidRPr="001263F2">
        <w:rPr>
          <w:sz w:val="24"/>
          <w:szCs w:val="24"/>
          <w:lang w:val="en-CA"/>
        </w:rPr>
        <w:t xml:space="preserve"> and how </w:t>
      </w:r>
      <w:r w:rsidR="00180076" w:rsidRPr="001263F2">
        <w:rPr>
          <w:sz w:val="24"/>
          <w:szCs w:val="24"/>
          <w:lang w:val="en-CA"/>
        </w:rPr>
        <w:t xml:space="preserve">are they </w:t>
      </w:r>
      <w:r w:rsidRPr="001263F2">
        <w:rPr>
          <w:sz w:val="24"/>
          <w:szCs w:val="24"/>
          <w:lang w:val="en-CA"/>
        </w:rPr>
        <w:t>different from the “colonial</w:t>
      </w:r>
      <w:r w:rsidR="00E540D1" w:rsidRPr="001263F2">
        <w:rPr>
          <w:sz w:val="24"/>
          <w:szCs w:val="24"/>
          <w:lang w:val="en-CA"/>
        </w:rPr>
        <w:t xml:space="preserve"> library</w:t>
      </w:r>
      <w:r w:rsidRPr="001263F2">
        <w:rPr>
          <w:sz w:val="24"/>
          <w:szCs w:val="24"/>
          <w:lang w:val="en-CA"/>
        </w:rPr>
        <w:t>”</w:t>
      </w:r>
      <w:r w:rsidR="00E540D1" w:rsidRPr="001263F2">
        <w:rPr>
          <w:sz w:val="24"/>
          <w:szCs w:val="24"/>
          <w:lang w:val="en-CA"/>
        </w:rPr>
        <w:t xml:space="preserve"> as conceptualized by Foucault and later by Mudimbe</w:t>
      </w:r>
      <w:r w:rsidRPr="001263F2">
        <w:rPr>
          <w:sz w:val="24"/>
          <w:szCs w:val="24"/>
          <w:lang w:val="en-CA"/>
        </w:rPr>
        <w:t xml:space="preserve">? </w:t>
      </w:r>
      <w:r w:rsidR="00E540D1" w:rsidRPr="001263F2">
        <w:rPr>
          <w:sz w:val="24"/>
          <w:szCs w:val="24"/>
          <w:lang w:val="en-CA"/>
        </w:rPr>
        <w:t xml:space="preserve">What are the possibilities and/or limitations </w:t>
      </w:r>
      <w:r w:rsidR="002558A7" w:rsidRPr="001263F2">
        <w:rPr>
          <w:sz w:val="24"/>
          <w:szCs w:val="24"/>
          <w:lang w:val="en-CA"/>
        </w:rPr>
        <w:t>of</w:t>
      </w:r>
      <w:r w:rsidR="00E540D1" w:rsidRPr="001263F2">
        <w:rPr>
          <w:sz w:val="24"/>
          <w:szCs w:val="24"/>
          <w:lang w:val="en-CA"/>
        </w:rPr>
        <w:t xml:space="preserve"> this conceptualization? </w:t>
      </w:r>
    </w:p>
    <w:p w14:paraId="26F63DB7" w14:textId="77777777" w:rsidR="005A4B49" w:rsidRPr="001263F2" w:rsidRDefault="005A4B49" w:rsidP="005A4B49">
      <w:pPr>
        <w:rPr>
          <w:sz w:val="24"/>
          <w:szCs w:val="24"/>
          <w:lang w:val="en-CA"/>
        </w:rPr>
      </w:pPr>
    </w:p>
    <w:p w14:paraId="46E98224" w14:textId="29A33F78" w:rsidR="005A4B49" w:rsidRPr="001263F2" w:rsidRDefault="005A4B49" w:rsidP="005A4B49">
      <w:pPr>
        <w:pStyle w:val="ListParagraph"/>
        <w:numPr>
          <w:ilvl w:val="0"/>
          <w:numId w:val="5"/>
        </w:numPr>
        <w:rPr>
          <w:sz w:val="24"/>
          <w:szCs w:val="24"/>
          <w:lang w:val="en-CA"/>
        </w:rPr>
      </w:pPr>
      <w:r w:rsidRPr="001263F2">
        <w:rPr>
          <w:sz w:val="24"/>
          <w:szCs w:val="24"/>
          <w:lang w:val="en-CA"/>
        </w:rPr>
        <w:t xml:space="preserve">Is this a story just about sub-Saharan West Africa, or is Kane trying to bridge several different historiographies to make larger claims about the African continent as a whole?  </w:t>
      </w:r>
    </w:p>
    <w:p w14:paraId="3C1A0DCC" w14:textId="77777777" w:rsidR="00720303" w:rsidRPr="001263F2" w:rsidRDefault="00720303" w:rsidP="00FF6932">
      <w:pPr>
        <w:rPr>
          <w:sz w:val="24"/>
          <w:szCs w:val="24"/>
          <w:lang w:val="en-CA"/>
        </w:rPr>
      </w:pPr>
    </w:p>
    <w:p w14:paraId="4E901344" w14:textId="0EEA689B" w:rsidR="00720303" w:rsidRPr="001263F2" w:rsidRDefault="005A4B49" w:rsidP="006F5F0D">
      <w:pPr>
        <w:pStyle w:val="ListParagraph"/>
        <w:numPr>
          <w:ilvl w:val="0"/>
          <w:numId w:val="5"/>
        </w:numPr>
        <w:rPr>
          <w:sz w:val="24"/>
          <w:szCs w:val="24"/>
          <w:lang w:val="en-CA"/>
        </w:rPr>
      </w:pPr>
      <w:r w:rsidRPr="001263F2">
        <w:rPr>
          <w:sz w:val="24"/>
          <w:szCs w:val="24"/>
          <w:lang w:val="en-CA"/>
        </w:rPr>
        <w:t xml:space="preserve">What trends and transformations </w:t>
      </w:r>
      <w:r w:rsidR="006F5F0D">
        <w:rPr>
          <w:sz w:val="24"/>
          <w:szCs w:val="24"/>
          <w:lang w:val="en-CA"/>
        </w:rPr>
        <w:t xml:space="preserve">in education does he identify </w:t>
      </w:r>
      <w:r w:rsidR="006F5F0D" w:rsidRPr="001263F2">
        <w:rPr>
          <w:sz w:val="24"/>
          <w:szCs w:val="24"/>
          <w:lang w:val="en-CA"/>
        </w:rPr>
        <w:t>occur</w:t>
      </w:r>
      <w:r w:rsidR="006F5F0D">
        <w:rPr>
          <w:sz w:val="24"/>
          <w:szCs w:val="24"/>
          <w:lang w:val="en-CA"/>
        </w:rPr>
        <w:t>red</w:t>
      </w:r>
      <w:r w:rsidRPr="001263F2">
        <w:rPr>
          <w:sz w:val="24"/>
          <w:szCs w:val="24"/>
          <w:lang w:val="en-CA"/>
        </w:rPr>
        <w:t xml:space="preserve"> as a consequence of </w:t>
      </w:r>
      <w:r w:rsidR="002E295B" w:rsidRPr="001263F2">
        <w:rPr>
          <w:sz w:val="24"/>
          <w:szCs w:val="24"/>
          <w:lang w:val="en-CA"/>
        </w:rPr>
        <w:t xml:space="preserve">the emergence of </w:t>
      </w:r>
      <w:r w:rsidRPr="001263F2">
        <w:rPr>
          <w:sz w:val="24"/>
          <w:szCs w:val="24"/>
          <w:lang w:val="en-CA"/>
        </w:rPr>
        <w:t xml:space="preserve">modern schools and colonialism? </w:t>
      </w:r>
      <w:r w:rsidR="002558A7" w:rsidRPr="001263F2">
        <w:rPr>
          <w:sz w:val="24"/>
          <w:szCs w:val="24"/>
          <w:lang w:val="en-CA"/>
        </w:rPr>
        <w:t xml:space="preserve">How did Muslim intellectuals respond to their new positions of marginality in the colonial/post-colonial state? </w:t>
      </w:r>
      <w:r w:rsidR="00720303" w:rsidRPr="001263F2">
        <w:rPr>
          <w:sz w:val="24"/>
          <w:szCs w:val="24"/>
          <w:lang w:val="en-CA"/>
        </w:rPr>
        <w:t xml:space="preserve"> </w:t>
      </w:r>
    </w:p>
    <w:p w14:paraId="0679B301" w14:textId="77777777" w:rsidR="00942D3C" w:rsidRPr="001263F2" w:rsidRDefault="00942D3C" w:rsidP="00942D3C">
      <w:pPr>
        <w:rPr>
          <w:sz w:val="24"/>
          <w:szCs w:val="24"/>
          <w:lang w:val="en-CA"/>
        </w:rPr>
      </w:pPr>
    </w:p>
    <w:p w14:paraId="6D1D5D84" w14:textId="77777777" w:rsidR="0041151F" w:rsidRDefault="002558A7" w:rsidP="0041151F">
      <w:pPr>
        <w:pStyle w:val="ListParagraph"/>
        <w:numPr>
          <w:ilvl w:val="0"/>
          <w:numId w:val="5"/>
        </w:numPr>
        <w:rPr>
          <w:sz w:val="24"/>
          <w:szCs w:val="24"/>
          <w:lang w:val="en-CA"/>
        </w:rPr>
      </w:pPr>
      <w:r w:rsidRPr="001263F2">
        <w:rPr>
          <w:sz w:val="24"/>
          <w:szCs w:val="24"/>
          <w:lang w:val="en-CA"/>
        </w:rPr>
        <w:t xml:space="preserve">What are the relationship between Kane’s autobiography and the historiographical elements of the book? What is he trying to explain through his own example about Islamic knowledge and the meanings that African Muslims create in post-colonial nation states? </w:t>
      </w:r>
    </w:p>
    <w:p w14:paraId="0C1E2E6D" w14:textId="77777777" w:rsidR="0041151F" w:rsidRPr="0041151F" w:rsidRDefault="0041151F" w:rsidP="0041151F">
      <w:pPr>
        <w:rPr>
          <w:sz w:val="24"/>
          <w:szCs w:val="24"/>
          <w:lang w:val="en-CA"/>
        </w:rPr>
      </w:pPr>
    </w:p>
    <w:p w14:paraId="1F61AFD2" w14:textId="77777777" w:rsidR="0041151F" w:rsidRDefault="00E540D1" w:rsidP="0041151F">
      <w:pPr>
        <w:pStyle w:val="ListParagraph"/>
        <w:numPr>
          <w:ilvl w:val="0"/>
          <w:numId w:val="5"/>
        </w:numPr>
        <w:rPr>
          <w:sz w:val="24"/>
          <w:szCs w:val="24"/>
          <w:lang w:val="en-CA"/>
        </w:rPr>
      </w:pPr>
      <w:r w:rsidRPr="0041151F">
        <w:rPr>
          <w:sz w:val="24"/>
          <w:szCs w:val="24"/>
          <w:lang w:val="en-CA"/>
        </w:rPr>
        <w:lastRenderedPageBreak/>
        <w:t xml:space="preserve"> How does Kane conceptualize the “Arabophones”</w:t>
      </w:r>
      <w:r w:rsidR="002558A7" w:rsidRPr="0041151F">
        <w:rPr>
          <w:sz w:val="24"/>
          <w:szCs w:val="24"/>
          <w:lang w:val="en-CA"/>
        </w:rPr>
        <w:t>? Does this term</w:t>
      </w:r>
      <w:r w:rsidRPr="0041151F">
        <w:rPr>
          <w:sz w:val="24"/>
          <w:szCs w:val="24"/>
          <w:lang w:val="en-CA"/>
        </w:rPr>
        <w:t xml:space="preserve"> take on different meanings </w:t>
      </w:r>
      <w:r w:rsidR="002558A7" w:rsidRPr="0041151F">
        <w:rPr>
          <w:sz w:val="24"/>
          <w:szCs w:val="24"/>
          <w:lang w:val="en-CA"/>
        </w:rPr>
        <w:t xml:space="preserve">throughout this work? Do the Arabophones themselves change? </w:t>
      </w:r>
      <w:r w:rsidRPr="0041151F">
        <w:rPr>
          <w:sz w:val="24"/>
          <w:szCs w:val="24"/>
          <w:lang w:val="en-CA"/>
        </w:rPr>
        <w:t xml:space="preserve"> </w:t>
      </w:r>
    </w:p>
    <w:p w14:paraId="5B749743" w14:textId="77777777" w:rsidR="0041151F" w:rsidRPr="0041151F" w:rsidRDefault="0041151F" w:rsidP="0041151F">
      <w:pPr>
        <w:rPr>
          <w:sz w:val="24"/>
          <w:szCs w:val="24"/>
          <w:lang w:val="en-CA"/>
        </w:rPr>
      </w:pPr>
    </w:p>
    <w:p w14:paraId="6C7B7406" w14:textId="77777777" w:rsidR="0041151F" w:rsidRDefault="00D669A5" w:rsidP="0041151F">
      <w:pPr>
        <w:pStyle w:val="ListParagraph"/>
        <w:numPr>
          <w:ilvl w:val="0"/>
          <w:numId w:val="5"/>
        </w:numPr>
        <w:rPr>
          <w:sz w:val="24"/>
          <w:szCs w:val="24"/>
          <w:lang w:val="en-CA"/>
        </w:rPr>
      </w:pPr>
      <w:r w:rsidRPr="0041151F">
        <w:rPr>
          <w:sz w:val="24"/>
          <w:szCs w:val="24"/>
          <w:lang w:val="en-CA"/>
        </w:rPr>
        <w:t xml:space="preserve"> How have post-colonial African Muslims brought religion into the public sphere, and what consequences has this had? </w:t>
      </w:r>
    </w:p>
    <w:p w14:paraId="5C54298E" w14:textId="77777777" w:rsidR="0041151F" w:rsidRPr="0041151F" w:rsidRDefault="0041151F" w:rsidP="0041151F">
      <w:pPr>
        <w:rPr>
          <w:sz w:val="24"/>
          <w:szCs w:val="24"/>
          <w:lang w:val="en-CA"/>
        </w:rPr>
      </w:pPr>
    </w:p>
    <w:p w14:paraId="04498EC8" w14:textId="51BBCC1D" w:rsidR="002558A7" w:rsidRPr="0041151F" w:rsidRDefault="002558A7" w:rsidP="0041151F">
      <w:pPr>
        <w:pStyle w:val="ListParagraph"/>
        <w:numPr>
          <w:ilvl w:val="0"/>
          <w:numId w:val="5"/>
        </w:numPr>
        <w:rPr>
          <w:sz w:val="24"/>
          <w:szCs w:val="24"/>
          <w:lang w:val="en-CA"/>
        </w:rPr>
      </w:pPr>
      <w:r w:rsidRPr="0041151F">
        <w:rPr>
          <w:sz w:val="24"/>
          <w:szCs w:val="24"/>
          <w:lang w:val="en-CA"/>
        </w:rPr>
        <w:t xml:space="preserve">This is primary a book about Muslim intellectuals, </w:t>
      </w:r>
      <w:r w:rsidR="00180076" w:rsidRPr="0041151F">
        <w:rPr>
          <w:sz w:val="24"/>
          <w:szCs w:val="24"/>
          <w:lang w:val="en-CA"/>
        </w:rPr>
        <w:t>and the different ways that intellectual have conceived of, transmitted</w:t>
      </w:r>
      <w:r w:rsidR="006F5F0D">
        <w:rPr>
          <w:sz w:val="24"/>
          <w:szCs w:val="24"/>
          <w:lang w:val="en-CA"/>
        </w:rPr>
        <w:t>,</w:t>
      </w:r>
      <w:r w:rsidR="00180076" w:rsidRPr="0041151F">
        <w:rPr>
          <w:sz w:val="24"/>
          <w:szCs w:val="24"/>
          <w:lang w:val="en-CA"/>
        </w:rPr>
        <w:t xml:space="preserve"> and used Islamic knowledge and practice over time. What limitations are there in uncovering the experiences and religious meanings of African Muslims if we only focus on intellectuals? </w:t>
      </w:r>
    </w:p>
    <w:p w14:paraId="6779AC15" w14:textId="77777777" w:rsidR="003C62E7" w:rsidRPr="001263F2" w:rsidRDefault="003C62E7" w:rsidP="00942D3C">
      <w:pPr>
        <w:rPr>
          <w:sz w:val="24"/>
          <w:szCs w:val="24"/>
          <w:lang w:val="en-CA"/>
        </w:rPr>
      </w:pPr>
    </w:p>
    <w:p w14:paraId="2A1BE208" w14:textId="1B2A2E88" w:rsidR="00B9296E" w:rsidRPr="000C0DD3" w:rsidRDefault="00942D3C" w:rsidP="00D770EE">
      <w:pPr>
        <w:rPr>
          <w:b/>
          <w:bCs/>
          <w:sz w:val="24"/>
          <w:szCs w:val="24"/>
          <w:lang w:val="en-CA"/>
        </w:rPr>
      </w:pPr>
      <w:r w:rsidRPr="000C0DD3">
        <w:rPr>
          <w:b/>
          <w:bCs/>
          <w:sz w:val="24"/>
          <w:szCs w:val="24"/>
          <w:lang w:val="en-CA"/>
        </w:rPr>
        <w:t xml:space="preserve">Further Readings: </w:t>
      </w:r>
    </w:p>
    <w:p w14:paraId="2AEBEEC4" w14:textId="77777777" w:rsidR="000C0DD3" w:rsidRDefault="000C0DD3" w:rsidP="00652294">
      <w:pPr>
        <w:rPr>
          <w:sz w:val="24"/>
          <w:szCs w:val="24"/>
          <w:u w:val="single"/>
          <w:lang w:val="en-CA"/>
        </w:rPr>
      </w:pPr>
    </w:p>
    <w:p w14:paraId="2EFF9B76" w14:textId="320B5D86" w:rsidR="0088100B" w:rsidRPr="00652294" w:rsidRDefault="00652294" w:rsidP="00652294">
      <w:pPr>
        <w:rPr>
          <w:sz w:val="24"/>
          <w:szCs w:val="24"/>
          <w:u w:val="single"/>
          <w:lang w:val="en-CA"/>
        </w:rPr>
      </w:pPr>
      <w:r>
        <w:rPr>
          <w:sz w:val="24"/>
          <w:szCs w:val="24"/>
          <w:u w:val="single"/>
          <w:lang w:val="en-CA"/>
        </w:rPr>
        <w:t>Islamic Intellectual H</w:t>
      </w:r>
      <w:r w:rsidR="00DF71C7" w:rsidRPr="0088100B">
        <w:rPr>
          <w:sz w:val="24"/>
          <w:szCs w:val="24"/>
          <w:u w:val="single"/>
          <w:lang w:val="en-CA"/>
        </w:rPr>
        <w:t xml:space="preserve">istory (Africa) </w:t>
      </w:r>
    </w:p>
    <w:p w14:paraId="27FA2CBB" w14:textId="3833A77A" w:rsidR="00DF71C7" w:rsidRDefault="00D61301" w:rsidP="000C0DD3">
      <w:pPr>
        <w:ind w:left="284" w:hanging="284"/>
        <w:rPr>
          <w:sz w:val="22"/>
          <w:szCs w:val="22"/>
          <w:lang w:val="en-CA"/>
        </w:rPr>
      </w:pPr>
      <w:r w:rsidRPr="00652294">
        <w:rPr>
          <w:sz w:val="22"/>
          <w:szCs w:val="22"/>
          <w:lang w:val="en-CA"/>
        </w:rPr>
        <w:t>Jeppie</w:t>
      </w:r>
      <w:r w:rsidR="00652294" w:rsidRPr="00652294">
        <w:rPr>
          <w:sz w:val="22"/>
          <w:szCs w:val="22"/>
          <w:lang w:val="en-CA"/>
        </w:rPr>
        <w:t>, Shamil</w:t>
      </w:r>
      <w:r w:rsidRPr="00652294">
        <w:rPr>
          <w:sz w:val="22"/>
          <w:szCs w:val="22"/>
          <w:lang w:val="en-CA"/>
        </w:rPr>
        <w:t xml:space="preserve"> and Souleymane Bachir Diagne (eds), </w:t>
      </w:r>
      <w:r w:rsidRPr="00652294">
        <w:rPr>
          <w:i/>
          <w:iCs/>
          <w:sz w:val="22"/>
          <w:szCs w:val="22"/>
          <w:lang w:val="en-CA"/>
        </w:rPr>
        <w:t>The Meaning of Timbuktu</w:t>
      </w:r>
      <w:r w:rsidR="00441D22">
        <w:rPr>
          <w:i/>
          <w:iCs/>
          <w:sz w:val="22"/>
          <w:szCs w:val="22"/>
          <w:lang w:val="en-CA"/>
        </w:rPr>
        <w:t>.</w:t>
      </w:r>
      <w:r w:rsidR="00441D22">
        <w:rPr>
          <w:sz w:val="22"/>
          <w:szCs w:val="22"/>
          <w:lang w:val="en-CA"/>
        </w:rPr>
        <w:t xml:space="preserve"> </w:t>
      </w:r>
      <w:r w:rsidRPr="00652294">
        <w:rPr>
          <w:sz w:val="22"/>
          <w:szCs w:val="22"/>
          <w:lang w:val="en-CA"/>
        </w:rPr>
        <w:t>Cape Town: HSRC Press,</w:t>
      </w:r>
      <w:r w:rsidR="00441D22">
        <w:rPr>
          <w:sz w:val="22"/>
          <w:szCs w:val="22"/>
          <w:lang w:val="en-CA"/>
        </w:rPr>
        <w:t xml:space="preserve"> 2008.</w:t>
      </w:r>
      <w:r w:rsidRPr="00652294">
        <w:rPr>
          <w:sz w:val="22"/>
          <w:szCs w:val="22"/>
          <w:lang w:val="en-CA"/>
        </w:rPr>
        <w:t xml:space="preserve"> </w:t>
      </w:r>
    </w:p>
    <w:p w14:paraId="30ACB7BB" w14:textId="77777777" w:rsidR="000C0DD3" w:rsidRPr="000C0DD3" w:rsidRDefault="000C0DD3" w:rsidP="000C0DD3">
      <w:pPr>
        <w:ind w:left="284" w:hanging="284"/>
        <w:rPr>
          <w:sz w:val="22"/>
          <w:szCs w:val="22"/>
          <w:lang w:val="en-CA"/>
        </w:rPr>
      </w:pPr>
    </w:p>
    <w:p w14:paraId="1EFBDC81" w14:textId="78697E34" w:rsidR="0088100B" w:rsidRDefault="00B9296E" w:rsidP="00652294">
      <w:pPr>
        <w:rPr>
          <w:sz w:val="24"/>
          <w:szCs w:val="24"/>
          <w:u w:val="single"/>
          <w:lang w:val="en-CA"/>
        </w:rPr>
      </w:pPr>
      <w:r w:rsidRPr="0088100B">
        <w:rPr>
          <w:sz w:val="24"/>
          <w:szCs w:val="24"/>
          <w:u w:val="single"/>
          <w:lang w:val="en-CA"/>
        </w:rPr>
        <w:t>Isl</w:t>
      </w:r>
      <w:r w:rsidR="00652294">
        <w:rPr>
          <w:sz w:val="24"/>
          <w:szCs w:val="24"/>
          <w:u w:val="single"/>
          <w:lang w:val="en-CA"/>
        </w:rPr>
        <w:t>amic Education and Educational T</w:t>
      </w:r>
      <w:r w:rsidRPr="0088100B">
        <w:rPr>
          <w:sz w:val="24"/>
          <w:szCs w:val="24"/>
          <w:u w:val="single"/>
          <w:lang w:val="en-CA"/>
        </w:rPr>
        <w:t xml:space="preserve">ransformations </w:t>
      </w:r>
      <w:r w:rsidR="00652294">
        <w:rPr>
          <w:sz w:val="24"/>
          <w:szCs w:val="24"/>
          <w:u w:val="single"/>
          <w:lang w:val="en-CA"/>
        </w:rPr>
        <w:t>in Africa</w:t>
      </w:r>
    </w:p>
    <w:p w14:paraId="635C5BAA" w14:textId="77777777" w:rsidR="00D7722F" w:rsidRDefault="00652294" w:rsidP="00D7722F">
      <w:pPr>
        <w:ind w:left="284" w:hanging="284"/>
        <w:rPr>
          <w:sz w:val="22"/>
          <w:szCs w:val="22"/>
        </w:rPr>
      </w:pPr>
      <w:r w:rsidRPr="00652294">
        <w:rPr>
          <w:iCs/>
          <w:sz w:val="22"/>
          <w:szCs w:val="22"/>
        </w:rPr>
        <w:t>Brenner, Louis</w:t>
      </w:r>
      <w:r w:rsidRPr="00652294">
        <w:rPr>
          <w:i/>
          <w:sz w:val="22"/>
          <w:szCs w:val="22"/>
        </w:rPr>
        <w:t>. Controlling Knowledge: Religion, Power and Schooling in a West African Muslim Society</w:t>
      </w:r>
      <w:r w:rsidRPr="00652294">
        <w:rPr>
          <w:sz w:val="22"/>
          <w:szCs w:val="22"/>
        </w:rPr>
        <w:t>. Bloomington: Indiana University Press, 2001.</w:t>
      </w:r>
    </w:p>
    <w:p w14:paraId="74E20B57" w14:textId="77777777" w:rsidR="00D7722F" w:rsidRDefault="00454D7B" w:rsidP="00D7722F">
      <w:pPr>
        <w:ind w:left="284" w:hanging="284"/>
        <w:rPr>
          <w:sz w:val="22"/>
          <w:szCs w:val="22"/>
        </w:rPr>
      </w:pPr>
      <w:r w:rsidRPr="00D7722F">
        <w:rPr>
          <w:sz w:val="22"/>
          <w:szCs w:val="22"/>
        </w:rPr>
        <w:t xml:space="preserve">Kane, Ousmane. </w:t>
      </w:r>
      <w:r w:rsidRPr="00D7722F">
        <w:rPr>
          <w:i/>
          <w:sz w:val="22"/>
          <w:szCs w:val="22"/>
        </w:rPr>
        <w:t>Muslim Modernity in Postcolonial Nigeria: A Study of the Society for Removal and Reinstatement of Tradition</w:t>
      </w:r>
      <w:r w:rsidRPr="00D7722F">
        <w:rPr>
          <w:sz w:val="22"/>
          <w:szCs w:val="22"/>
        </w:rPr>
        <w:t>. Brill, 2003.</w:t>
      </w:r>
    </w:p>
    <w:p w14:paraId="7BD251DC" w14:textId="77777777" w:rsidR="00D7722F" w:rsidRDefault="00D7722F" w:rsidP="00D7722F">
      <w:pPr>
        <w:ind w:left="284" w:hanging="284"/>
        <w:rPr>
          <w:sz w:val="22"/>
          <w:szCs w:val="22"/>
        </w:rPr>
      </w:pPr>
      <w:r w:rsidRPr="00D7722F">
        <w:rPr>
          <w:rFonts w:eastAsia="Times New Roman"/>
          <w:kern w:val="0"/>
          <w:sz w:val="22"/>
          <w:szCs w:val="22"/>
          <w:u w:val="single"/>
        </w:rPr>
        <w:t xml:space="preserve">Østebø, Terje. </w:t>
      </w:r>
      <w:r w:rsidRPr="00D7722F">
        <w:rPr>
          <w:rFonts w:eastAsia="Times New Roman"/>
          <w:i/>
          <w:iCs/>
          <w:kern w:val="0"/>
          <w:sz w:val="22"/>
          <w:szCs w:val="22"/>
        </w:rPr>
        <w:t xml:space="preserve">Localising Salafism: Religious Change among Oromo Muslims in Bale, Ethiopia. </w:t>
      </w:r>
      <w:r w:rsidRPr="00D7722F">
        <w:rPr>
          <w:rFonts w:eastAsia="Times New Roman"/>
          <w:kern w:val="0"/>
          <w:sz w:val="22"/>
          <w:szCs w:val="22"/>
        </w:rPr>
        <w:t>Brill, 2011.</w:t>
      </w:r>
      <w:r w:rsidRPr="00D7722F">
        <w:rPr>
          <w:rFonts w:eastAsia="Times New Roman"/>
          <w:i/>
          <w:iCs/>
          <w:kern w:val="0"/>
          <w:sz w:val="22"/>
          <w:szCs w:val="22"/>
        </w:rPr>
        <w:t xml:space="preserve">  </w:t>
      </w:r>
    </w:p>
    <w:p w14:paraId="592AF11B" w14:textId="4E9B540A" w:rsidR="00652294" w:rsidRPr="00D7722F" w:rsidRDefault="00652294" w:rsidP="00D7722F">
      <w:pPr>
        <w:ind w:left="284" w:hanging="284"/>
        <w:rPr>
          <w:sz w:val="22"/>
          <w:szCs w:val="22"/>
        </w:rPr>
      </w:pPr>
      <w:r w:rsidRPr="00652294">
        <w:rPr>
          <w:sz w:val="22"/>
          <w:szCs w:val="22"/>
          <w:lang w:val="en-CA"/>
        </w:rPr>
        <w:t xml:space="preserve">Reese, Scott. ed. </w:t>
      </w:r>
      <w:r w:rsidRPr="00652294">
        <w:rPr>
          <w:i/>
          <w:sz w:val="22"/>
          <w:szCs w:val="22"/>
          <w:lang w:val="en-CA"/>
        </w:rPr>
        <w:t>The Transmission of Learning in Islamic Africa</w:t>
      </w:r>
      <w:r w:rsidRPr="00652294">
        <w:rPr>
          <w:sz w:val="22"/>
          <w:szCs w:val="22"/>
          <w:lang w:val="en-CA"/>
        </w:rPr>
        <w:t>. Brill: 2004.</w:t>
      </w:r>
    </w:p>
    <w:p w14:paraId="4699B847" w14:textId="0F505EB8" w:rsidR="00B9296E" w:rsidRDefault="00652294" w:rsidP="00652294">
      <w:pPr>
        <w:ind w:left="284" w:hanging="284"/>
        <w:rPr>
          <w:rFonts w:eastAsia="Times New Roman"/>
          <w:sz w:val="22"/>
          <w:szCs w:val="22"/>
        </w:rPr>
      </w:pPr>
      <w:r w:rsidRPr="00652294">
        <w:rPr>
          <w:rFonts w:eastAsia="Times New Roman"/>
          <w:iCs/>
          <w:sz w:val="22"/>
          <w:szCs w:val="22"/>
        </w:rPr>
        <w:t>Ware, Rudolph.</w:t>
      </w:r>
      <w:r w:rsidRPr="00652294">
        <w:rPr>
          <w:rFonts w:eastAsia="Times New Roman"/>
          <w:i/>
          <w:sz w:val="22"/>
          <w:szCs w:val="22"/>
        </w:rPr>
        <w:t xml:space="preserve"> The Walking Qur’an: Islamic Education, Embodied Knowledge, and History In West Africa</w:t>
      </w:r>
      <w:r w:rsidRPr="00652294">
        <w:rPr>
          <w:rFonts w:eastAsia="Times New Roman"/>
          <w:sz w:val="22"/>
          <w:szCs w:val="22"/>
        </w:rPr>
        <w:t>. Chapel Hill: University of North Carolina Press, 2014.</w:t>
      </w:r>
    </w:p>
    <w:p w14:paraId="259061AB" w14:textId="77777777" w:rsidR="0088100B" w:rsidRDefault="0088100B" w:rsidP="00942D3C">
      <w:pPr>
        <w:rPr>
          <w:sz w:val="24"/>
          <w:szCs w:val="24"/>
          <w:lang w:val="en-CA"/>
        </w:rPr>
      </w:pPr>
    </w:p>
    <w:p w14:paraId="22661DCB" w14:textId="1BABD3E7" w:rsidR="00B9296E" w:rsidRDefault="00652294" w:rsidP="00942D3C">
      <w:pPr>
        <w:rPr>
          <w:sz w:val="24"/>
          <w:szCs w:val="24"/>
          <w:u w:val="single"/>
          <w:lang w:val="en-CA"/>
        </w:rPr>
      </w:pPr>
      <w:r w:rsidRPr="00652294">
        <w:rPr>
          <w:sz w:val="24"/>
          <w:szCs w:val="24"/>
          <w:u w:val="single"/>
          <w:lang w:val="en-CA"/>
        </w:rPr>
        <w:t>Sufi Brotherhoods: Resistance, Adaption, and Transformations</w:t>
      </w:r>
      <w:r w:rsidR="00B9296E" w:rsidRPr="00652294">
        <w:rPr>
          <w:sz w:val="24"/>
          <w:szCs w:val="24"/>
          <w:u w:val="single"/>
          <w:lang w:val="en-CA"/>
        </w:rPr>
        <w:t xml:space="preserve"> </w:t>
      </w:r>
    </w:p>
    <w:p w14:paraId="026FE7F6" w14:textId="77777777" w:rsidR="00652294" w:rsidRPr="00D770EE" w:rsidRDefault="00652294" w:rsidP="00652294">
      <w:pPr>
        <w:ind w:left="284" w:hanging="284"/>
        <w:rPr>
          <w:sz w:val="22"/>
          <w:szCs w:val="22"/>
        </w:rPr>
      </w:pPr>
      <w:r w:rsidRPr="00D770EE">
        <w:rPr>
          <w:sz w:val="22"/>
          <w:szCs w:val="22"/>
        </w:rPr>
        <w:t xml:space="preserve">Babou, Cheikh Anta. </w:t>
      </w:r>
      <w:r w:rsidRPr="00D770EE">
        <w:rPr>
          <w:i/>
          <w:sz w:val="22"/>
          <w:szCs w:val="22"/>
        </w:rPr>
        <w:t>Fighting the Greater Jihad: Amadu Bamba and the Founding of the Muridiyya of Senegal</w:t>
      </w:r>
      <w:r w:rsidRPr="00D770EE">
        <w:rPr>
          <w:sz w:val="22"/>
          <w:szCs w:val="22"/>
        </w:rPr>
        <w:t>, 1853-1913. Ohio University Press, 2007.</w:t>
      </w:r>
    </w:p>
    <w:p w14:paraId="477B9E56" w14:textId="77777777" w:rsidR="00652294" w:rsidRPr="00D770EE" w:rsidRDefault="00652294" w:rsidP="00652294">
      <w:pPr>
        <w:ind w:left="284" w:hanging="284"/>
        <w:rPr>
          <w:sz w:val="22"/>
          <w:szCs w:val="22"/>
        </w:rPr>
      </w:pPr>
      <w:r w:rsidRPr="00D770EE">
        <w:rPr>
          <w:sz w:val="22"/>
          <w:szCs w:val="22"/>
        </w:rPr>
        <w:t xml:space="preserve">Batran. Aziz A. </w:t>
      </w:r>
      <w:r w:rsidRPr="00D770EE">
        <w:rPr>
          <w:rFonts w:eastAsia="Times New Roman"/>
          <w:bCs/>
          <w:i/>
          <w:sz w:val="22"/>
          <w:szCs w:val="22"/>
        </w:rPr>
        <w:t>The Qadiryya Brotherhood in West Africa and the Western Sahara: The Life and Times of Shaykh al-Mukhtar al-Kunti</w:t>
      </w:r>
      <w:r w:rsidRPr="00D770EE">
        <w:rPr>
          <w:rFonts w:eastAsia="Times New Roman"/>
          <w:bCs/>
          <w:sz w:val="22"/>
          <w:szCs w:val="22"/>
        </w:rPr>
        <w:t xml:space="preserve">. Rabat: University of Mohammed V, 2001. </w:t>
      </w:r>
      <w:r w:rsidRPr="00D770EE">
        <w:rPr>
          <w:sz w:val="22"/>
          <w:szCs w:val="22"/>
        </w:rPr>
        <w:t xml:space="preserve">  </w:t>
      </w:r>
    </w:p>
    <w:p w14:paraId="4BAB2516" w14:textId="77777777" w:rsidR="00652294" w:rsidRPr="00D770EE" w:rsidRDefault="00652294" w:rsidP="00652294">
      <w:pPr>
        <w:ind w:left="284" w:hanging="284"/>
        <w:rPr>
          <w:sz w:val="22"/>
          <w:szCs w:val="22"/>
        </w:rPr>
      </w:pPr>
      <w:r w:rsidRPr="00D770EE">
        <w:rPr>
          <w:sz w:val="22"/>
          <w:szCs w:val="22"/>
        </w:rPr>
        <w:t xml:space="preserve">Seesemann, Rüdiger. </w:t>
      </w:r>
      <w:r w:rsidRPr="00D770EE">
        <w:rPr>
          <w:i/>
          <w:sz w:val="22"/>
          <w:szCs w:val="22"/>
        </w:rPr>
        <w:t>The Divine Flood: Ibrāhīm Niasse and the Roots of a Twentieth-Century Sufi Revival</w:t>
      </w:r>
      <w:r w:rsidRPr="00D770EE">
        <w:rPr>
          <w:sz w:val="22"/>
          <w:szCs w:val="22"/>
        </w:rPr>
        <w:t>. Oxford University Press, 2011.</w:t>
      </w:r>
    </w:p>
    <w:p w14:paraId="44386F9A" w14:textId="77777777" w:rsidR="00652294" w:rsidRPr="00D770EE" w:rsidRDefault="00652294" w:rsidP="00652294">
      <w:pPr>
        <w:ind w:left="284" w:hanging="284"/>
        <w:rPr>
          <w:sz w:val="22"/>
          <w:szCs w:val="22"/>
        </w:rPr>
      </w:pPr>
      <w:r w:rsidRPr="00D770EE">
        <w:rPr>
          <w:sz w:val="22"/>
          <w:szCs w:val="22"/>
          <w:lang w:val="en-CA"/>
        </w:rPr>
        <w:t xml:space="preserve">Soares, Benjamin. </w:t>
      </w:r>
      <w:r w:rsidRPr="00D770EE">
        <w:rPr>
          <w:i/>
          <w:sz w:val="22"/>
          <w:szCs w:val="22"/>
          <w:lang w:val="en-CA"/>
        </w:rPr>
        <w:t>Islam and the Prayer Economy: History and Authority in a Malian Town</w:t>
      </w:r>
      <w:r w:rsidRPr="00D770EE">
        <w:rPr>
          <w:sz w:val="22"/>
          <w:szCs w:val="22"/>
          <w:lang w:val="en-CA"/>
        </w:rPr>
        <w:t>. Edinburgh University Press, 2005.</w:t>
      </w:r>
    </w:p>
    <w:p w14:paraId="7EA3FDAD" w14:textId="441E3C10" w:rsidR="00652294" w:rsidRPr="00D770EE" w:rsidRDefault="00652294" w:rsidP="00652294">
      <w:pPr>
        <w:ind w:left="284" w:hanging="284"/>
        <w:rPr>
          <w:sz w:val="22"/>
          <w:szCs w:val="22"/>
        </w:rPr>
      </w:pPr>
      <w:r w:rsidRPr="00D770EE">
        <w:rPr>
          <w:sz w:val="22"/>
          <w:szCs w:val="22"/>
        </w:rPr>
        <w:t xml:space="preserve">Wright, Zachary. </w:t>
      </w:r>
      <w:r w:rsidRPr="00D770EE">
        <w:rPr>
          <w:i/>
          <w:sz w:val="22"/>
          <w:szCs w:val="22"/>
        </w:rPr>
        <w:t>Living Knowledge in West African Islam: The Sufi Community of Ibrāhīm Niasse</w:t>
      </w:r>
      <w:r w:rsidRPr="00D770EE">
        <w:rPr>
          <w:sz w:val="22"/>
          <w:szCs w:val="22"/>
        </w:rPr>
        <w:t>. Brill, 2015.</w:t>
      </w:r>
    </w:p>
    <w:p w14:paraId="45CE9438" w14:textId="77777777" w:rsidR="00B9296E" w:rsidRDefault="00B9296E" w:rsidP="00942D3C">
      <w:pPr>
        <w:rPr>
          <w:sz w:val="24"/>
          <w:szCs w:val="24"/>
          <w:lang w:val="en-CA"/>
        </w:rPr>
      </w:pPr>
    </w:p>
    <w:p w14:paraId="37319D11" w14:textId="77777777" w:rsidR="000440C9" w:rsidRDefault="00B9296E" w:rsidP="000440C9">
      <w:pPr>
        <w:rPr>
          <w:sz w:val="24"/>
          <w:szCs w:val="24"/>
          <w:lang w:val="en-CA"/>
        </w:rPr>
      </w:pPr>
      <w:r w:rsidRPr="00D770EE">
        <w:rPr>
          <w:sz w:val="24"/>
          <w:szCs w:val="24"/>
          <w:u w:val="single"/>
          <w:lang w:val="en-CA"/>
        </w:rPr>
        <w:t>More on Arabophones and Europhones</w:t>
      </w:r>
      <w:r>
        <w:rPr>
          <w:sz w:val="24"/>
          <w:szCs w:val="24"/>
          <w:lang w:val="en-CA"/>
        </w:rPr>
        <w:t xml:space="preserve">: </w:t>
      </w:r>
    </w:p>
    <w:p w14:paraId="18734BB5" w14:textId="77777777" w:rsidR="000C0DD3" w:rsidRDefault="000440C9" w:rsidP="000C0DD3">
      <w:pPr>
        <w:rPr>
          <w:sz w:val="22"/>
          <w:szCs w:val="22"/>
          <w:lang w:val="en-CA"/>
        </w:rPr>
      </w:pPr>
      <w:r w:rsidRPr="000C0DD3">
        <w:rPr>
          <w:sz w:val="22"/>
          <w:szCs w:val="22"/>
          <w:lang w:val="en-CA"/>
        </w:rPr>
        <w:t xml:space="preserve">Kane, </w:t>
      </w:r>
      <w:r w:rsidR="00E522ED" w:rsidRPr="000C0DD3">
        <w:rPr>
          <w:sz w:val="22"/>
          <w:szCs w:val="22"/>
          <w:lang w:val="en-CA"/>
        </w:rPr>
        <w:t xml:space="preserve">Ousmane Oumar. Non-Europhone Intellectuals, translated by Victoria Bawtree. </w:t>
      </w:r>
      <w:r w:rsidR="000C0DD3">
        <w:rPr>
          <w:sz w:val="22"/>
          <w:szCs w:val="22"/>
          <w:lang w:val="en-CA"/>
        </w:rPr>
        <w:t>Dakar:</w:t>
      </w:r>
    </w:p>
    <w:p w14:paraId="52FFDA1D" w14:textId="1A2C274A" w:rsidR="000440C9" w:rsidRPr="000C0DD3" w:rsidRDefault="000C0DD3" w:rsidP="000C0DD3">
      <w:pPr>
        <w:ind w:firstLine="284"/>
        <w:rPr>
          <w:sz w:val="22"/>
          <w:szCs w:val="22"/>
          <w:lang w:val="en-CA"/>
        </w:rPr>
      </w:pPr>
      <w:r>
        <w:rPr>
          <w:sz w:val="22"/>
          <w:szCs w:val="22"/>
          <w:lang w:val="en-CA"/>
        </w:rPr>
        <w:t>Codesria, nd.</w:t>
      </w:r>
    </w:p>
    <w:p w14:paraId="71E5314F" w14:textId="0C088F94" w:rsidR="000440C9" w:rsidRPr="000C0DD3" w:rsidRDefault="000440C9" w:rsidP="000440C9">
      <w:pPr>
        <w:ind w:left="284" w:hanging="284"/>
        <w:rPr>
          <w:sz w:val="22"/>
          <w:szCs w:val="22"/>
          <w:lang w:val="en-CA"/>
        </w:rPr>
      </w:pPr>
      <w:r w:rsidRPr="000C0DD3">
        <w:rPr>
          <w:sz w:val="22"/>
          <w:szCs w:val="22"/>
          <w:lang w:val="en-CA"/>
        </w:rPr>
        <w:t xml:space="preserve">Diagne, Souleymane Bachir, </w:t>
      </w:r>
      <w:r w:rsidRPr="000C0DD3">
        <w:rPr>
          <w:rFonts w:eastAsia="Times New Roman"/>
          <w:i/>
          <w:iCs/>
          <w:sz w:val="22"/>
          <w:szCs w:val="22"/>
        </w:rPr>
        <w:t>The Ink of the Scholars: Reflections on Philosophy in Africa</w:t>
      </w:r>
      <w:r w:rsidRPr="000C0DD3">
        <w:rPr>
          <w:rFonts w:eastAsia="Times New Roman"/>
          <w:sz w:val="22"/>
          <w:szCs w:val="22"/>
        </w:rPr>
        <w:t>, Tr</w:t>
      </w:r>
      <w:r w:rsidR="000C0DD3">
        <w:rPr>
          <w:rFonts w:eastAsia="Times New Roman"/>
          <w:sz w:val="22"/>
          <w:szCs w:val="22"/>
        </w:rPr>
        <w:t>anslated by Jonathan Adjemian. Codesria, 2016</w:t>
      </w:r>
      <w:r w:rsidRPr="000C0DD3">
        <w:rPr>
          <w:rFonts w:eastAsia="Times New Roman"/>
          <w:sz w:val="22"/>
          <w:szCs w:val="22"/>
        </w:rPr>
        <w:t xml:space="preserve">. </w:t>
      </w:r>
    </w:p>
    <w:p w14:paraId="310538B2" w14:textId="305CC661" w:rsidR="000440C9" w:rsidRPr="000440C9" w:rsidRDefault="000440C9" w:rsidP="00942D3C">
      <w:pPr>
        <w:rPr>
          <w:sz w:val="24"/>
          <w:szCs w:val="24"/>
        </w:rPr>
      </w:pPr>
    </w:p>
    <w:sectPr w:rsidR="000440C9" w:rsidRPr="000440C9" w:rsidSect="009F4330">
      <w:footerReference w:type="even" r:id="rId7"/>
      <w:footerReference w:type="default" r:id="rId8"/>
      <w:type w:val="continuous"/>
      <w:pgSz w:w="12240" w:h="15840"/>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106D8" w14:textId="77777777" w:rsidR="004A0E6F" w:rsidRDefault="004A0E6F" w:rsidP="000C0DD3">
      <w:r>
        <w:separator/>
      </w:r>
    </w:p>
  </w:endnote>
  <w:endnote w:type="continuationSeparator" w:id="0">
    <w:p w14:paraId="14EFB634" w14:textId="77777777" w:rsidR="004A0E6F" w:rsidRDefault="004A0E6F" w:rsidP="000C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8AC6" w14:textId="77777777" w:rsidR="000C0DD3" w:rsidRDefault="000C0DD3" w:rsidP="00104C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858C1" w14:textId="77777777" w:rsidR="000C0DD3" w:rsidRDefault="000C0DD3" w:rsidP="000C0D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76D3" w14:textId="66DDCC7D" w:rsidR="000C0DD3" w:rsidRDefault="000C0DD3" w:rsidP="00104C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667">
      <w:rPr>
        <w:rStyle w:val="PageNumber"/>
        <w:noProof/>
      </w:rPr>
      <w:t>1</w:t>
    </w:r>
    <w:r>
      <w:rPr>
        <w:rStyle w:val="PageNumber"/>
      </w:rPr>
      <w:fldChar w:fldCharType="end"/>
    </w:r>
  </w:p>
  <w:p w14:paraId="12DF5235" w14:textId="77777777" w:rsidR="000C0DD3" w:rsidRDefault="000C0DD3" w:rsidP="000C0D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E68FA" w14:textId="77777777" w:rsidR="004A0E6F" w:rsidRDefault="004A0E6F" w:rsidP="000C0DD3">
      <w:r>
        <w:separator/>
      </w:r>
    </w:p>
  </w:footnote>
  <w:footnote w:type="continuationSeparator" w:id="0">
    <w:p w14:paraId="2FF47592" w14:textId="77777777" w:rsidR="004A0E6F" w:rsidRDefault="004A0E6F" w:rsidP="000C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5E8"/>
    <w:multiLevelType w:val="hybridMultilevel"/>
    <w:tmpl w:val="D3785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808DE"/>
    <w:multiLevelType w:val="hybridMultilevel"/>
    <w:tmpl w:val="30BE43E8"/>
    <w:lvl w:ilvl="0" w:tplc="8E4EA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3A0835"/>
    <w:multiLevelType w:val="hybridMultilevel"/>
    <w:tmpl w:val="7B9A3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9548E"/>
    <w:multiLevelType w:val="hybridMultilevel"/>
    <w:tmpl w:val="52223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E55E7"/>
    <w:multiLevelType w:val="hybridMultilevel"/>
    <w:tmpl w:val="ECF4D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13"/>
    <w:rsid w:val="000254BC"/>
    <w:rsid w:val="000440C9"/>
    <w:rsid w:val="000A511C"/>
    <w:rsid w:val="000B6210"/>
    <w:rsid w:val="000C0DD3"/>
    <w:rsid w:val="001263F2"/>
    <w:rsid w:val="00180076"/>
    <w:rsid w:val="001A26ED"/>
    <w:rsid w:val="002140A6"/>
    <w:rsid w:val="002558A7"/>
    <w:rsid w:val="002A06DF"/>
    <w:rsid w:val="002E2667"/>
    <w:rsid w:val="002E295B"/>
    <w:rsid w:val="002E47F8"/>
    <w:rsid w:val="003C62E7"/>
    <w:rsid w:val="003E45E3"/>
    <w:rsid w:val="0041151F"/>
    <w:rsid w:val="00413320"/>
    <w:rsid w:val="00441D22"/>
    <w:rsid w:val="00454D7B"/>
    <w:rsid w:val="004A0E6F"/>
    <w:rsid w:val="00506EE6"/>
    <w:rsid w:val="005A4B49"/>
    <w:rsid w:val="00652294"/>
    <w:rsid w:val="006836DB"/>
    <w:rsid w:val="006F5F0D"/>
    <w:rsid w:val="00720303"/>
    <w:rsid w:val="00722E07"/>
    <w:rsid w:val="007827CE"/>
    <w:rsid w:val="00864172"/>
    <w:rsid w:val="0088100B"/>
    <w:rsid w:val="008905EB"/>
    <w:rsid w:val="008F2E54"/>
    <w:rsid w:val="00910659"/>
    <w:rsid w:val="00942D3C"/>
    <w:rsid w:val="00990453"/>
    <w:rsid w:val="009F4330"/>
    <w:rsid w:val="00A475E1"/>
    <w:rsid w:val="00A928B8"/>
    <w:rsid w:val="00AB1EA4"/>
    <w:rsid w:val="00AE7FEC"/>
    <w:rsid w:val="00B37B77"/>
    <w:rsid w:val="00B9296E"/>
    <w:rsid w:val="00B962C4"/>
    <w:rsid w:val="00BE3A2D"/>
    <w:rsid w:val="00BE72FF"/>
    <w:rsid w:val="00BF3762"/>
    <w:rsid w:val="00C404CB"/>
    <w:rsid w:val="00C802EA"/>
    <w:rsid w:val="00CA5C9B"/>
    <w:rsid w:val="00D53B05"/>
    <w:rsid w:val="00D54F29"/>
    <w:rsid w:val="00D61301"/>
    <w:rsid w:val="00D61EE5"/>
    <w:rsid w:val="00D669A5"/>
    <w:rsid w:val="00D770EE"/>
    <w:rsid w:val="00D7722F"/>
    <w:rsid w:val="00DA4013"/>
    <w:rsid w:val="00DF71C7"/>
    <w:rsid w:val="00E42626"/>
    <w:rsid w:val="00E522ED"/>
    <w:rsid w:val="00E540D1"/>
    <w:rsid w:val="00FA3B00"/>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E0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kern w:val="36"/>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link w:val="Heading1Char"/>
    <w:uiPriority w:val="9"/>
    <w:qFormat/>
    <w:rsid w:val="000440C9"/>
    <w:pPr>
      <w:spacing w:before="100" w:beforeAutospacing="1" w:after="100" w:afterAutospacing="1"/>
      <w:outlineLvl w:val="0"/>
    </w:pPr>
    <w:rPr>
      <w:b/>
      <w:bCs/>
      <w:color w:val="auto"/>
      <w:sz w:val="48"/>
      <w:szCs w:val="48"/>
    </w:rPr>
  </w:style>
  <w:style w:type="paragraph" w:styleId="Heading2">
    <w:name w:val="heading 2"/>
    <w:basedOn w:val="Normal"/>
    <w:next w:val="Normal"/>
    <w:link w:val="Heading2Char"/>
    <w:uiPriority w:val="9"/>
    <w:unhideWhenUsed/>
    <w:qFormat/>
    <w:rsid w:val="000254BC"/>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4BC"/>
    <w:rPr>
      <w:rFonts w:eastAsiaTheme="majorEastAsia" w:cstheme="majorBidi"/>
      <w:b/>
      <w:sz w:val="26"/>
      <w:szCs w:val="26"/>
    </w:rPr>
  </w:style>
  <w:style w:type="paragraph" w:styleId="ListParagraph">
    <w:name w:val="List Paragraph"/>
    <w:basedOn w:val="Normal"/>
    <w:uiPriority w:val="34"/>
    <w:qFormat/>
    <w:rsid w:val="00B962C4"/>
    <w:pPr>
      <w:ind w:left="720"/>
      <w:contextualSpacing/>
    </w:pPr>
  </w:style>
  <w:style w:type="character" w:customStyle="1" w:styleId="tgc">
    <w:name w:val="_tgc"/>
    <w:basedOn w:val="DefaultParagraphFont"/>
    <w:rsid w:val="00D53B05"/>
  </w:style>
  <w:style w:type="character" w:customStyle="1" w:styleId="Heading1Char">
    <w:name w:val="Heading 1 Char"/>
    <w:basedOn w:val="DefaultParagraphFont"/>
    <w:link w:val="Heading1"/>
    <w:uiPriority w:val="9"/>
    <w:rsid w:val="000440C9"/>
    <w:rPr>
      <w:b/>
      <w:bCs/>
      <w:color w:val="auto"/>
      <w:sz w:val="48"/>
      <w:szCs w:val="48"/>
    </w:rPr>
  </w:style>
  <w:style w:type="character" w:customStyle="1" w:styleId="a-size-large">
    <w:name w:val="a-size-large"/>
    <w:basedOn w:val="DefaultParagraphFont"/>
    <w:rsid w:val="000440C9"/>
  </w:style>
  <w:style w:type="character" w:customStyle="1" w:styleId="a-declarative">
    <w:name w:val="a-declarative"/>
    <w:basedOn w:val="DefaultParagraphFont"/>
    <w:rsid w:val="00D7722F"/>
  </w:style>
  <w:style w:type="character" w:styleId="Hyperlink">
    <w:name w:val="Hyperlink"/>
    <w:basedOn w:val="DefaultParagraphFont"/>
    <w:uiPriority w:val="99"/>
    <w:semiHidden/>
    <w:unhideWhenUsed/>
    <w:rsid w:val="00D7722F"/>
    <w:rPr>
      <w:color w:val="0000FF"/>
      <w:u w:val="single"/>
    </w:rPr>
  </w:style>
  <w:style w:type="paragraph" w:styleId="Footer">
    <w:name w:val="footer"/>
    <w:basedOn w:val="Normal"/>
    <w:link w:val="FooterChar"/>
    <w:uiPriority w:val="99"/>
    <w:unhideWhenUsed/>
    <w:rsid w:val="000C0DD3"/>
    <w:pPr>
      <w:tabs>
        <w:tab w:val="center" w:pos="4680"/>
        <w:tab w:val="right" w:pos="9360"/>
      </w:tabs>
    </w:pPr>
  </w:style>
  <w:style w:type="character" w:customStyle="1" w:styleId="FooterChar">
    <w:name w:val="Footer Char"/>
    <w:basedOn w:val="DefaultParagraphFont"/>
    <w:link w:val="Footer"/>
    <w:uiPriority w:val="99"/>
    <w:rsid w:val="000C0DD3"/>
    <w:rPr>
      <w:sz w:val="28"/>
    </w:rPr>
  </w:style>
  <w:style w:type="character" w:styleId="PageNumber">
    <w:name w:val="page number"/>
    <w:basedOn w:val="DefaultParagraphFont"/>
    <w:uiPriority w:val="99"/>
    <w:semiHidden/>
    <w:unhideWhenUsed/>
    <w:rsid w:val="000C0DD3"/>
  </w:style>
  <w:style w:type="paragraph" w:styleId="NormalWeb">
    <w:name w:val="Normal (Web)"/>
    <w:basedOn w:val="Normal"/>
    <w:uiPriority w:val="99"/>
    <w:semiHidden/>
    <w:unhideWhenUsed/>
    <w:rsid w:val="00E42626"/>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3742">
      <w:bodyDiv w:val="1"/>
      <w:marLeft w:val="0"/>
      <w:marRight w:val="0"/>
      <w:marTop w:val="0"/>
      <w:marBottom w:val="0"/>
      <w:divBdr>
        <w:top w:val="none" w:sz="0" w:space="0" w:color="auto"/>
        <w:left w:val="none" w:sz="0" w:space="0" w:color="auto"/>
        <w:bottom w:val="none" w:sz="0" w:space="0" w:color="auto"/>
        <w:right w:val="none" w:sz="0" w:space="0" w:color="auto"/>
      </w:divBdr>
    </w:div>
    <w:div w:id="539511808">
      <w:bodyDiv w:val="1"/>
      <w:marLeft w:val="0"/>
      <w:marRight w:val="0"/>
      <w:marTop w:val="0"/>
      <w:marBottom w:val="0"/>
      <w:divBdr>
        <w:top w:val="none" w:sz="0" w:space="0" w:color="auto"/>
        <w:left w:val="none" w:sz="0" w:space="0" w:color="auto"/>
        <w:bottom w:val="none" w:sz="0" w:space="0" w:color="auto"/>
        <w:right w:val="none" w:sz="0" w:space="0" w:color="auto"/>
      </w:divBdr>
    </w:div>
    <w:div w:id="1680421515">
      <w:bodyDiv w:val="1"/>
      <w:marLeft w:val="0"/>
      <w:marRight w:val="0"/>
      <w:marTop w:val="0"/>
      <w:marBottom w:val="0"/>
      <w:divBdr>
        <w:top w:val="none" w:sz="0" w:space="0" w:color="auto"/>
        <w:left w:val="none" w:sz="0" w:space="0" w:color="auto"/>
        <w:bottom w:val="none" w:sz="0" w:space="0" w:color="auto"/>
        <w:right w:val="none" w:sz="0" w:space="0" w:color="auto"/>
      </w:divBdr>
    </w:div>
    <w:div w:id="1922984653">
      <w:bodyDiv w:val="1"/>
      <w:marLeft w:val="0"/>
      <w:marRight w:val="0"/>
      <w:marTop w:val="0"/>
      <w:marBottom w:val="0"/>
      <w:divBdr>
        <w:top w:val="none" w:sz="0" w:space="0" w:color="auto"/>
        <w:left w:val="none" w:sz="0" w:space="0" w:color="auto"/>
        <w:bottom w:val="none" w:sz="0" w:space="0" w:color="auto"/>
        <w:right w:val="none" w:sz="0" w:space="0" w:color="auto"/>
      </w:divBdr>
    </w:div>
    <w:div w:id="2076774126">
      <w:bodyDiv w:val="1"/>
      <w:marLeft w:val="0"/>
      <w:marRight w:val="0"/>
      <w:marTop w:val="0"/>
      <w:marBottom w:val="0"/>
      <w:divBdr>
        <w:top w:val="none" w:sz="0" w:space="0" w:color="auto"/>
        <w:left w:val="none" w:sz="0" w:space="0" w:color="auto"/>
        <w:bottom w:val="none" w:sz="0" w:space="0" w:color="auto"/>
        <w:right w:val="none" w:sz="0" w:space="0" w:color="auto"/>
      </w:divBdr>
      <w:divsChild>
        <w:div w:id="70351930">
          <w:marLeft w:val="0"/>
          <w:marRight w:val="0"/>
          <w:marTop w:val="0"/>
          <w:marBottom w:val="0"/>
          <w:divBdr>
            <w:top w:val="none" w:sz="0" w:space="0" w:color="auto"/>
            <w:left w:val="none" w:sz="0" w:space="0" w:color="auto"/>
            <w:bottom w:val="none" w:sz="0" w:space="0" w:color="auto"/>
            <w:right w:val="none" w:sz="0" w:space="0" w:color="auto"/>
          </w:divBdr>
          <w:divsChild>
            <w:div w:id="2030254644">
              <w:marLeft w:val="0"/>
              <w:marRight w:val="0"/>
              <w:marTop w:val="0"/>
              <w:marBottom w:val="0"/>
              <w:divBdr>
                <w:top w:val="none" w:sz="0" w:space="0" w:color="auto"/>
                <w:left w:val="none" w:sz="0" w:space="0" w:color="auto"/>
                <w:bottom w:val="none" w:sz="0" w:space="0" w:color="auto"/>
                <w:right w:val="none" w:sz="0" w:space="0" w:color="auto"/>
              </w:divBdr>
              <w:divsChild>
                <w:div w:id="2110083097">
                  <w:marLeft w:val="0"/>
                  <w:marRight w:val="0"/>
                  <w:marTop w:val="0"/>
                  <w:marBottom w:val="0"/>
                  <w:divBdr>
                    <w:top w:val="none" w:sz="0" w:space="0" w:color="auto"/>
                    <w:left w:val="none" w:sz="0" w:space="0" w:color="auto"/>
                    <w:bottom w:val="none" w:sz="0" w:space="0" w:color="auto"/>
                    <w:right w:val="none" w:sz="0" w:space="0" w:color="auto"/>
                  </w:divBdr>
                  <w:divsChild>
                    <w:div w:id="2117603716">
                      <w:marLeft w:val="0"/>
                      <w:marRight w:val="0"/>
                      <w:marTop w:val="0"/>
                      <w:marBottom w:val="0"/>
                      <w:divBdr>
                        <w:top w:val="none" w:sz="0" w:space="0" w:color="auto"/>
                        <w:left w:val="none" w:sz="0" w:space="0" w:color="auto"/>
                        <w:bottom w:val="none" w:sz="0" w:space="0" w:color="auto"/>
                        <w:right w:val="none" w:sz="0" w:space="0" w:color="auto"/>
                      </w:divBdr>
                      <w:divsChild>
                        <w:div w:id="1736127798">
                          <w:marLeft w:val="0"/>
                          <w:marRight w:val="0"/>
                          <w:marTop w:val="0"/>
                          <w:marBottom w:val="0"/>
                          <w:divBdr>
                            <w:top w:val="none" w:sz="0" w:space="0" w:color="auto"/>
                            <w:left w:val="none" w:sz="0" w:space="0" w:color="auto"/>
                            <w:bottom w:val="none" w:sz="0" w:space="0" w:color="auto"/>
                            <w:right w:val="none" w:sz="0" w:space="0" w:color="auto"/>
                          </w:divBdr>
                          <w:divsChild>
                            <w:div w:id="1527986270">
                              <w:marLeft w:val="0"/>
                              <w:marRight w:val="0"/>
                              <w:marTop w:val="0"/>
                              <w:marBottom w:val="0"/>
                              <w:divBdr>
                                <w:top w:val="none" w:sz="0" w:space="0" w:color="auto"/>
                                <w:left w:val="none" w:sz="0" w:space="0" w:color="auto"/>
                                <w:bottom w:val="none" w:sz="0" w:space="0" w:color="auto"/>
                                <w:right w:val="none" w:sz="0" w:space="0" w:color="auto"/>
                              </w:divBdr>
                            </w:div>
                            <w:div w:id="506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Amir</dc:creator>
  <cp:keywords/>
  <dc:description/>
  <cp:lastModifiedBy>Linn, Elaine Elizabeth</cp:lastModifiedBy>
  <cp:revision>2</cp:revision>
  <cp:lastPrinted>2018-02-23T19:23:00Z</cp:lastPrinted>
  <dcterms:created xsi:type="dcterms:W3CDTF">2018-03-02T21:53:00Z</dcterms:created>
  <dcterms:modified xsi:type="dcterms:W3CDTF">2018-03-02T21:53:00Z</dcterms:modified>
</cp:coreProperties>
</file>